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3ADB" w14:textId="62086796" w:rsidR="005B159C" w:rsidRDefault="005B159C" w:rsidP="005B159C">
      <w:pPr>
        <w:rPr>
          <w:b/>
          <w:bCs/>
        </w:rPr>
      </w:pPr>
      <w:r>
        <w:rPr>
          <w:b/>
          <w:bCs/>
          <w:noProof/>
        </w:rPr>
        <w:drawing>
          <wp:anchor distT="0" distB="0" distL="114300" distR="114300" simplePos="0" relativeHeight="251658240" behindDoc="0" locked="0" layoutInCell="1" allowOverlap="1" wp14:anchorId="777ABF67" wp14:editId="1C3422C3">
            <wp:simplePos x="914400" y="914400"/>
            <wp:positionH relativeFrom="margin">
              <wp:align>right</wp:align>
            </wp:positionH>
            <wp:positionV relativeFrom="margin">
              <wp:align>top</wp:align>
            </wp:positionV>
            <wp:extent cx="2248214" cy="1495634"/>
            <wp:effectExtent l="0" t="0" r="0" b="0"/>
            <wp:wrapSquare wrapText="bothSides"/>
            <wp:docPr id="302608167" name="Picture 1" descr="A logo with colorful people i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08167" name="Picture 1" descr="A logo with colorful people in a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248214" cy="1495634"/>
                    </a:xfrm>
                    <a:prstGeom prst="rect">
                      <a:avLst/>
                    </a:prstGeom>
                  </pic:spPr>
                </pic:pic>
              </a:graphicData>
            </a:graphic>
          </wp:anchor>
        </w:drawing>
      </w:r>
    </w:p>
    <w:p w14:paraId="36FB31B2" w14:textId="77777777" w:rsidR="005B159C" w:rsidRDefault="005B159C" w:rsidP="005B159C">
      <w:pPr>
        <w:rPr>
          <w:b/>
          <w:bCs/>
        </w:rPr>
      </w:pPr>
    </w:p>
    <w:p w14:paraId="3236652B" w14:textId="77777777" w:rsidR="005B159C" w:rsidRDefault="005B159C" w:rsidP="005B159C">
      <w:pPr>
        <w:rPr>
          <w:b/>
          <w:bCs/>
        </w:rPr>
      </w:pPr>
    </w:p>
    <w:p w14:paraId="3CD9DFF0" w14:textId="77777777" w:rsidR="005B159C" w:rsidRDefault="005B159C" w:rsidP="005B159C">
      <w:pPr>
        <w:rPr>
          <w:b/>
          <w:bCs/>
        </w:rPr>
      </w:pPr>
    </w:p>
    <w:p w14:paraId="3D185B7E" w14:textId="77777777" w:rsidR="005B159C" w:rsidRDefault="005B159C" w:rsidP="005B159C">
      <w:pPr>
        <w:rPr>
          <w:b/>
          <w:bCs/>
        </w:rPr>
      </w:pPr>
    </w:p>
    <w:p w14:paraId="004C2249" w14:textId="77777777" w:rsidR="005B159C" w:rsidRDefault="005B159C" w:rsidP="005B159C">
      <w:pPr>
        <w:rPr>
          <w:b/>
          <w:bCs/>
        </w:rPr>
      </w:pPr>
    </w:p>
    <w:p w14:paraId="005C74DB" w14:textId="6A7AB3AF" w:rsidR="005B159C" w:rsidRPr="005B159C" w:rsidRDefault="005B159C" w:rsidP="005B159C">
      <w:pPr>
        <w:rPr>
          <w:b/>
          <w:bCs/>
          <w:color w:val="006666"/>
          <w:sz w:val="28"/>
          <w:szCs w:val="28"/>
        </w:rPr>
      </w:pPr>
      <w:r w:rsidRPr="005B159C">
        <w:rPr>
          <w:b/>
          <w:bCs/>
          <w:color w:val="006666"/>
          <w:sz w:val="28"/>
          <w:szCs w:val="28"/>
        </w:rPr>
        <w:t>CBChange Privacy and Confidentiality Policy</w:t>
      </w:r>
    </w:p>
    <w:p w14:paraId="684FA443" w14:textId="5DAE3CB9" w:rsidR="005B159C" w:rsidRPr="005B159C" w:rsidRDefault="005B159C" w:rsidP="005B159C">
      <w:pPr>
        <w:rPr>
          <w:b/>
          <w:bCs/>
        </w:rPr>
      </w:pPr>
      <w:r w:rsidRPr="005B159C">
        <w:rPr>
          <w:b/>
          <w:bCs/>
        </w:rPr>
        <w:t>1.0 Privacy and confidentiality guidelines</w:t>
      </w:r>
    </w:p>
    <w:p w14:paraId="525D837E" w14:textId="77777777" w:rsidR="005B159C" w:rsidRPr="005B159C" w:rsidRDefault="005B159C" w:rsidP="005B159C">
      <w:pPr>
        <w:numPr>
          <w:ilvl w:val="0"/>
          <w:numId w:val="1"/>
        </w:numPr>
      </w:pPr>
      <w:r w:rsidRPr="005B159C">
        <w:t>we are committed to complying with the privacy requirements of the Privacy Act, the Australian Privacy Principles and for Privacy Amendment (Notifiable Data Breaches) as required by organisations providing disability services</w:t>
      </w:r>
    </w:p>
    <w:p w14:paraId="688A5ADA" w14:textId="77777777" w:rsidR="005B159C" w:rsidRPr="005B159C" w:rsidRDefault="005B159C" w:rsidP="005B159C">
      <w:pPr>
        <w:numPr>
          <w:ilvl w:val="0"/>
          <w:numId w:val="1"/>
        </w:numPr>
      </w:pPr>
      <w:r w:rsidRPr="005B159C">
        <w:t>we are fully committed to complying with the consent requirements of the NDIS Quality and Safeguarding Framework and relevant state or territory requirements</w:t>
      </w:r>
    </w:p>
    <w:p w14:paraId="1ECC547C" w14:textId="77777777" w:rsidR="005B159C" w:rsidRPr="005B159C" w:rsidRDefault="005B159C" w:rsidP="005B159C">
      <w:pPr>
        <w:numPr>
          <w:ilvl w:val="0"/>
          <w:numId w:val="1"/>
        </w:numPr>
      </w:pPr>
      <w:r w:rsidRPr="005B159C">
        <w:t>we provide all individuals with access to information about the privacy of their personal information</w:t>
      </w:r>
    </w:p>
    <w:p w14:paraId="1FD1D31E" w14:textId="77777777" w:rsidR="005B159C" w:rsidRPr="005B159C" w:rsidRDefault="005B159C" w:rsidP="005B159C">
      <w:pPr>
        <w:numPr>
          <w:ilvl w:val="0"/>
          <w:numId w:val="1"/>
        </w:numPr>
      </w:pPr>
      <w:proofErr w:type="gramStart"/>
      <w:r w:rsidRPr="005B159C">
        <w:t>each individual</w:t>
      </w:r>
      <w:proofErr w:type="gramEnd"/>
      <w:r w:rsidRPr="005B159C">
        <w:t xml:space="preserve"> has the right to opt out of consenting to and providing their personal details if they wish</w:t>
      </w:r>
    </w:p>
    <w:p w14:paraId="4F9CF6F8" w14:textId="77777777" w:rsidR="005B159C" w:rsidRPr="005B159C" w:rsidRDefault="005B159C" w:rsidP="005B159C">
      <w:pPr>
        <w:numPr>
          <w:ilvl w:val="0"/>
          <w:numId w:val="1"/>
        </w:numPr>
      </w:pPr>
      <w:r w:rsidRPr="005B159C">
        <w:t>individuals have the right to request access to their personal records by requesting this with their contact person</w:t>
      </w:r>
    </w:p>
    <w:p w14:paraId="53BB7676" w14:textId="77777777" w:rsidR="005B159C" w:rsidRPr="005B159C" w:rsidRDefault="005B159C" w:rsidP="005B159C">
      <w:pPr>
        <w:numPr>
          <w:ilvl w:val="0"/>
          <w:numId w:val="1"/>
        </w:numPr>
      </w:pPr>
      <w:r w:rsidRPr="005B159C">
        <w:t>where we are required to report to government funding bodies, information provided is non-identifiable and related to services and support hours provided, age, disability, language, and nationality</w:t>
      </w:r>
    </w:p>
    <w:p w14:paraId="59BC7C0F" w14:textId="77777777" w:rsidR="005B159C" w:rsidRPr="005B159C" w:rsidRDefault="005B159C" w:rsidP="005B159C">
      <w:pPr>
        <w:numPr>
          <w:ilvl w:val="0"/>
          <w:numId w:val="1"/>
        </w:numPr>
      </w:pPr>
      <w:r w:rsidRPr="005B159C">
        <w:t>personal information will only be used by us and will not be shared outside the organisation without your permission unless required by law (e.g. reporting assault, abuse, neglect, or where a court order is issued)</w:t>
      </w:r>
    </w:p>
    <w:p w14:paraId="2EF03A92" w14:textId="77777777" w:rsidR="005B159C" w:rsidRPr="005B159C" w:rsidRDefault="005B159C" w:rsidP="005B159C">
      <w:pPr>
        <w:numPr>
          <w:ilvl w:val="0"/>
          <w:numId w:val="1"/>
        </w:numPr>
      </w:pPr>
      <w:r w:rsidRPr="005B159C">
        <w:t>images or video footage of participants will not be used without their consent</w:t>
      </w:r>
    </w:p>
    <w:p w14:paraId="5103B4D3" w14:textId="77777777" w:rsidR="005B159C" w:rsidRPr="005B159C" w:rsidRDefault="005B159C" w:rsidP="005B159C">
      <w:pPr>
        <w:numPr>
          <w:ilvl w:val="0"/>
          <w:numId w:val="1"/>
        </w:numPr>
      </w:pPr>
      <w:r w:rsidRPr="005B159C">
        <w:t>participants have the option of being involved in external NDIS audits if they wish.</w:t>
      </w:r>
    </w:p>
    <w:p w14:paraId="163CEEED" w14:textId="77777777" w:rsidR="005B159C" w:rsidRPr="005B159C" w:rsidRDefault="005B159C" w:rsidP="005B159C">
      <w:pPr>
        <w:rPr>
          <w:b/>
          <w:bCs/>
        </w:rPr>
      </w:pPr>
      <w:r w:rsidRPr="005B159C">
        <w:rPr>
          <w:b/>
          <w:bCs/>
        </w:rPr>
        <w:t>2.0 Security of information</w:t>
      </w:r>
    </w:p>
    <w:p w14:paraId="3AA6BFA2" w14:textId="77777777" w:rsidR="005B159C" w:rsidRPr="005B159C" w:rsidRDefault="005B159C" w:rsidP="005B159C">
      <w:pPr>
        <w:numPr>
          <w:ilvl w:val="0"/>
          <w:numId w:val="2"/>
        </w:numPr>
      </w:pPr>
      <w:r w:rsidRPr="005B159C">
        <w:t>we take reasonable steps to protect the personal information we hold against misuse, interference, loss, unauthorised access, modification and disclosure.</w:t>
      </w:r>
    </w:p>
    <w:p w14:paraId="2A1272E9" w14:textId="77777777" w:rsidR="005B159C" w:rsidRPr="005B159C" w:rsidRDefault="005B159C" w:rsidP="005B159C">
      <w:pPr>
        <w:numPr>
          <w:ilvl w:val="0"/>
          <w:numId w:val="2"/>
        </w:numPr>
      </w:pPr>
      <w:r w:rsidRPr="005B159C">
        <w:t>personal information is accessible to the participant and is available for use by relevant workers</w:t>
      </w:r>
    </w:p>
    <w:p w14:paraId="20CF0BF2" w14:textId="77777777" w:rsidR="005B159C" w:rsidRPr="005B159C" w:rsidRDefault="005B159C" w:rsidP="005B159C">
      <w:pPr>
        <w:numPr>
          <w:ilvl w:val="0"/>
          <w:numId w:val="2"/>
        </w:numPr>
      </w:pPr>
      <w:r w:rsidRPr="005B159C">
        <w:t>security for personal information includes password protection for IT systems, locked filing cabinets and physical access restrictions with only authorised personnel permitted access</w:t>
      </w:r>
    </w:p>
    <w:p w14:paraId="4209F857" w14:textId="77777777" w:rsidR="005B159C" w:rsidRPr="005B159C" w:rsidRDefault="005B159C" w:rsidP="005B159C">
      <w:pPr>
        <w:numPr>
          <w:ilvl w:val="0"/>
          <w:numId w:val="2"/>
        </w:numPr>
      </w:pPr>
      <w:r w:rsidRPr="005B159C">
        <w:t>personal information no longer required is securely destroyed or de-identified.</w:t>
      </w:r>
    </w:p>
    <w:p w14:paraId="1388E8A4" w14:textId="77777777" w:rsidR="005B159C" w:rsidRPr="005B159C" w:rsidRDefault="005B159C" w:rsidP="005B159C">
      <w:pPr>
        <w:rPr>
          <w:b/>
          <w:bCs/>
        </w:rPr>
      </w:pPr>
      <w:r w:rsidRPr="005B159C">
        <w:rPr>
          <w:b/>
          <w:bCs/>
        </w:rPr>
        <w:lastRenderedPageBreak/>
        <w:t>3.0 Data breaches</w:t>
      </w:r>
    </w:p>
    <w:p w14:paraId="0651968D" w14:textId="77777777" w:rsidR="005B159C" w:rsidRPr="005B159C" w:rsidRDefault="005B159C" w:rsidP="005B159C">
      <w:pPr>
        <w:numPr>
          <w:ilvl w:val="0"/>
          <w:numId w:val="3"/>
        </w:numPr>
      </w:pPr>
      <w:r w:rsidRPr="005B159C">
        <w:t>we will take reasonable steps to reduce the likelihood of a data breach occurring including storing personal information securely and accessible only to relevant workers</w:t>
      </w:r>
    </w:p>
    <w:p w14:paraId="030950D4" w14:textId="77777777" w:rsidR="005B159C" w:rsidRPr="005B159C" w:rsidRDefault="005B159C" w:rsidP="005B159C">
      <w:pPr>
        <w:numPr>
          <w:ilvl w:val="0"/>
          <w:numId w:val="3"/>
        </w:numPr>
      </w:pPr>
      <w:r w:rsidRPr="005B159C">
        <w:t xml:space="preserve">if we know or suspect your personal information has been accessed by unauthorised parties, and we think this could cause you harm, we will take reasonable steps to reduce the chance of harm and advise you of the breach, and if </w:t>
      </w:r>
      <w:proofErr w:type="gramStart"/>
      <w:r w:rsidRPr="005B159C">
        <w:t>necessary</w:t>
      </w:r>
      <w:proofErr w:type="gramEnd"/>
      <w:r w:rsidRPr="005B159C">
        <w:t xml:space="preserve"> the Office of the Australian Information Commissioner.</w:t>
      </w:r>
    </w:p>
    <w:p w14:paraId="176E91EF" w14:textId="77777777" w:rsidR="005B159C" w:rsidRPr="005B159C" w:rsidRDefault="005B159C" w:rsidP="005B159C">
      <w:pPr>
        <w:rPr>
          <w:b/>
          <w:bCs/>
        </w:rPr>
      </w:pPr>
      <w:r w:rsidRPr="005B159C">
        <w:rPr>
          <w:b/>
          <w:bCs/>
        </w:rPr>
        <w:t>4.0 Breach of privacy and confidentiality</w:t>
      </w:r>
    </w:p>
    <w:p w14:paraId="07E14B28" w14:textId="77777777" w:rsidR="005B159C" w:rsidRPr="005B159C" w:rsidRDefault="005B159C" w:rsidP="005B159C">
      <w:pPr>
        <w:numPr>
          <w:ilvl w:val="0"/>
          <w:numId w:val="4"/>
        </w:numPr>
      </w:pPr>
      <w:r w:rsidRPr="005B159C">
        <w:t>a breach of privacy and confidentiality is an incident—follow the Manage incident process to resolve</w:t>
      </w:r>
    </w:p>
    <w:p w14:paraId="690CF307" w14:textId="77777777" w:rsidR="005B159C" w:rsidRPr="005B159C" w:rsidRDefault="005B159C" w:rsidP="005B159C">
      <w:pPr>
        <w:numPr>
          <w:ilvl w:val="0"/>
          <w:numId w:val="4"/>
        </w:numPr>
      </w:pPr>
      <w:r w:rsidRPr="005B159C">
        <w:t>a breach of privacy and confidentiality may require an investigation</w:t>
      </w:r>
    </w:p>
    <w:p w14:paraId="30D447E8" w14:textId="77777777" w:rsidR="005B159C" w:rsidRPr="005B159C" w:rsidRDefault="005B159C" w:rsidP="005B159C">
      <w:pPr>
        <w:numPr>
          <w:ilvl w:val="0"/>
          <w:numId w:val="4"/>
        </w:numPr>
      </w:pPr>
      <w:r w:rsidRPr="005B159C">
        <w:t>an intentional breach of privacy and confidentiality will result in disciplinary action up to and including termination of employment.</w:t>
      </w:r>
    </w:p>
    <w:p w14:paraId="5AD76C7E" w14:textId="77777777" w:rsidR="005B159C" w:rsidRDefault="005B159C" w:rsidP="005B159C">
      <w:pPr>
        <w:rPr>
          <w:b/>
          <w:bCs/>
        </w:rPr>
      </w:pPr>
      <w:r w:rsidRPr="005B159C">
        <w:rPr>
          <w:b/>
          <w:bCs/>
        </w:rPr>
        <w:t>5.0 Policy Version and Review Date</w:t>
      </w:r>
    </w:p>
    <w:tbl>
      <w:tblPr>
        <w:tblW w:w="9072" w:type="dxa"/>
        <w:tblBorders>
          <w:top w:val="single" w:sz="6" w:space="0" w:color="E6E6E6"/>
          <w:left w:val="single" w:sz="6" w:space="0" w:color="E6E6E6"/>
          <w:bottom w:val="single" w:sz="6" w:space="0" w:color="E6E6E6"/>
          <w:right w:val="single" w:sz="6" w:space="0" w:color="E6E6E6"/>
        </w:tblBorders>
        <w:shd w:val="clear" w:color="auto" w:fill="FAFAFA"/>
        <w:tblCellMar>
          <w:top w:w="15" w:type="dxa"/>
          <w:left w:w="15" w:type="dxa"/>
          <w:bottom w:w="15" w:type="dxa"/>
          <w:right w:w="15" w:type="dxa"/>
        </w:tblCellMar>
        <w:tblLook w:val="04A0" w:firstRow="1" w:lastRow="0" w:firstColumn="1" w:lastColumn="0" w:noHBand="0" w:noVBand="1"/>
      </w:tblPr>
      <w:tblGrid>
        <w:gridCol w:w="4403"/>
        <w:gridCol w:w="4669"/>
      </w:tblGrid>
      <w:tr w:rsidR="005B159C" w:rsidRPr="005B159C" w14:paraId="0B377FFD" w14:textId="77777777" w:rsidTr="005B159C">
        <w:tc>
          <w:tcPr>
            <w:tcW w:w="0" w:type="auto"/>
            <w:tcBorders>
              <w:top w:val="single" w:sz="6" w:space="0" w:color="E6E6E6"/>
              <w:left w:val="single" w:sz="6" w:space="0" w:color="E6E6E6"/>
              <w:bottom w:val="single" w:sz="6" w:space="0" w:color="E6E6E6"/>
              <w:right w:val="single" w:sz="6" w:space="0" w:color="E6E6E6"/>
            </w:tcBorders>
            <w:shd w:val="clear" w:color="auto" w:fill="FAFAFA"/>
            <w:vAlign w:val="center"/>
            <w:hideMark/>
          </w:tcPr>
          <w:p w14:paraId="2C2C5954" w14:textId="77777777" w:rsidR="005B159C" w:rsidRPr="005B159C" w:rsidRDefault="005B159C" w:rsidP="005B159C">
            <w:pPr>
              <w:rPr>
                <w:b/>
                <w:bCs/>
              </w:rPr>
            </w:pPr>
            <w:r w:rsidRPr="005B159C">
              <w:rPr>
                <w:b/>
                <w:bCs/>
              </w:rPr>
              <w:t>Version issue date:</w:t>
            </w:r>
          </w:p>
        </w:tc>
        <w:tc>
          <w:tcPr>
            <w:tcW w:w="0" w:type="auto"/>
            <w:tcBorders>
              <w:top w:val="single" w:sz="6" w:space="0" w:color="E6E6E6"/>
              <w:left w:val="single" w:sz="6" w:space="0" w:color="E6E6E6"/>
              <w:bottom w:val="single" w:sz="6" w:space="0" w:color="E6E6E6"/>
              <w:right w:val="single" w:sz="6" w:space="0" w:color="E6E6E6"/>
            </w:tcBorders>
            <w:shd w:val="clear" w:color="auto" w:fill="FAFAFA"/>
            <w:vAlign w:val="center"/>
            <w:hideMark/>
          </w:tcPr>
          <w:p w14:paraId="3C6BB625" w14:textId="77777777" w:rsidR="005B159C" w:rsidRPr="005B159C" w:rsidRDefault="005B159C" w:rsidP="005B159C">
            <w:pPr>
              <w:rPr>
                <w:b/>
                <w:bCs/>
              </w:rPr>
            </w:pPr>
            <w:r w:rsidRPr="005B159C">
              <w:rPr>
                <w:b/>
                <w:bCs/>
              </w:rPr>
              <w:t>03/12/2025</w:t>
            </w:r>
          </w:p>
        </w:tc>
      </w:tr>
      <w:tr w:rsidR="005B159C" w:rsidRPr="005B159C" w14:paraId="700D4328" w14:textId="77777777" w:rsidTr="005B159C">
        <w:tc>
          <w:tcPr>
            <w:tcW w:w="0" w:type="auto"/>
            <w:tcBorders>
              <w:top w:val="single" w:sz="6" w:space="0" w:color="E6E6E6"/>
              <w:left w:val="single" w:sz="6" w:space="0" w:color="E6E6E6"/>
              <w:bottom w:val="single" w:sz="6" w:space="0" w:color="E6E6E6"/>
              <w:right w:val="single" w:sz="6" w:space="0" w:color="E6E6E6"/>
            </w:tcBorders>
            <w:shd w:val="clear" w:color="auto" w:fill="FAFAFA"/>
            <w:vAlign w:val="center"/>
            <w:hideMark/>
          </w:tcPr>
          <w:p w14:paraId="6B35B884" w14:textId="77777777" w:rsidR="005B159C" w:rsidRPr="005B159C" w:rsidRDefault="005B159C" w:rsidP="005B159C">
            <w:pPr>
              <w:rPr>
                <w:b/>
                <w:bCs/>
              </w:rPr>
            </w:pPr>
            <w:r w:rsidRPr="005B159C">
              <w:rPr>
                <w:b/>
                <w:bCs/>
              </w:rPr>
              <w:t>Policy owner:</w:t>
            </w:r>
          </w:p>
        </w:tc>
        <w:tc>
          <w:tcPr>
            <w:tcW w:w="0" w:type="auto"/>
            <w:tcBorders>
              <w:top w:val="single" w:sz="6" w:space="0" w:color="E6E6E6"/>
              <w:left w:val="single" w:sz="6" w:space="0" w:color="E6E6E6"/>
              <w:bottom w:val="single" w:sz="6" w:space="0" w:color="E6E6E6"/>
              <w:right w:val="single" w:sz="6" w:space="0" w:color="E6E6E6"/>
            </w:tcBorders>
            <w:shd w:val="clear" w:color="auto" w:fill="FAFAFA"/>
            <w:vAlign w:val="center"/>
            <w:hideMark/>
          </w:tcPr>
          <w:p w14:paraId="06F49538" w14:textId="77777777" w:rsidR="005B159C" w:rsidRPr="005B159C" w:rsidRDefault="005B159C" w:rsidP="005B159C">
            <w:pPr>
              <w:rPr>
                <w:b/>
                <w:bCs/>
              </w:rPr>
            </w:pPr>
            <w:r w:rsidRPr="005B159C">
              <w:rPr>
                <w:b/>
                <w:bCs/>
              </w:rPr>
              <w:t>CBChange Pty Ltd</w:t>
            </w:r>
          </w:p>
        </w:tc>
      </w:tr>
      <w:tr w:rsidR="005B159C" w:rsidRPr="005B159C" w14:paraId="4F0CA3AF" w14:textId="77777777" w:rsidTr="005B159C">
        <w:tc>
          <w:tcPr>
            <w:tcW w:w="0" w:type="auto"/>
            <w:tcBorders>
              <w:top w:val="single" w:sz="6" w:space="0" w:color="E6E6E6"/>
              <w:left w:val="single" w:sz="6" w:space="0" w:color="E6E6E6"/>
              <w:bottom w:val="single" w:sz="6" w:space="0" w:color="E6E6E6"/>
              <w:right w:val="single" w:sz="6" w:space="0" w:color="E6E6E6"/>
            </w:tcBorders>
            <w:shd w:val="clear" w:color="auto" w:fill="FAFAFA"/>
            <w:vAlign w:val="center"/>
            <w:hideMark/>
          </w:tcPr>
          <w:p w14:paraId="47D6501D" w14:textId="77777777" w:rsidR="005B159C" w:rsidRPr="005B159C" w:rsidRDefault="005B159C" w:rsidP="005B159C">
            <w:pPr>
              <w:rPr>
                <w:b/>
                <w:bCs/>
              </w:rPr>
            </w:pPr>
            <w:r w:rsidRPr="005B159C">
              <w:rPr>
                <w:b/>
                <w:bCs/>
              </w:rPr>
              <w:t>Approval authority:</w:t>
            </w:r>
          </w:p>
        </w:tc>
        <w:tc>
          <w:tcPr>
            <w:tcW w:w="0" w:type="auto"/>
            <w:tcBorders>
              <w:top w:val="single" w:sz="6" w:space="0" w:color="E6E6E6"/>
              <w:left w:val="single" w:sz="6" w:space="0" w:color="E6E6E6"/>
              <w:bottom w:val="single" w:sz="6" w:space="0" w:color="E6E6E6"/>
              <w:right w:val="single" w:sz="6" w:space="0" w:color="E6E6E6"/>
            </w:tcBorders>
            <w:shd w:val="clear" w:color="auto" w:fill="FAFAFA"/>
            <w:vAlign w:val="center"/>
            <w:hideMark/>
          </w:tcPr>
          <w:p w14:paraId="03CC48AC" w14:textId="77777777" w:rsidR="005B159C" w:rsidRPr="005B159C" w:rsidRDefault="005B159C" w:rsidP="005B159C">
            <w:pPr>
              <w:rPr>
                <w:b/>
                <w:bCs/>
              </w:rPr>
            </w:pPr>
            <w:r w:rsidRPr="005B159C">
              <w:rPr>
                <w:b/>
                <w:bCs/>
              </w:rPr>
              <w:t>CBChange Management</w:t>
            </w:r>
          </w:p>
        </w:tc>
      </w:tr>
      <w:tr w:rsidR="005B159C" w:rsidRPr="005B159C" w14:paraId="1191CA12" w14:textId="77777777" w:rsidTr="005B159C">
        <w:tc>
          <w:tcPr>
            <w:tcW w:w="0" w:type="auto"/>
            <w:tcBorders>
              <w:top w:val="single" w:sz="6" w:space="0" w:color="E6E6E6"/>
              <w:left w:val="single" w:sz="6" w:space="0" w:color="E6E6E6"/>
              <w:bottom w:val="single" w:sz="6" w:space="0" w:color="E6E6E6"/>
              <w:right w:val="single" w:sz="6" w:space="0" w:color="E6E6E6"/>
            </w:tcBorders>
            <w:shd w:val="clear" w:color="auto" w:fill="FAFAFA"/>
            <w:vAlign w:val="center"/>
            <w:hideMark/>
          </w:tcPr>
          <w:p w14:paraId="32F04911" w14:textId="77777777" w:rsidR="005B159C" w:rsidRPr="005B159C" w:rsidRDefault="005B159C" w:rsidP="005B159C">
            <w:pPr>
              <w:rPr>
                <w:b/>
                <w:bCs/>
              </w:rPr>
            </w:pPr>
            <w:r w:rsidRPr="005B159C">
              <w:rPr>
                <w:b/>
                <w:bCs/>
              </w:rPr>
              <w:t>Original approval date:</w:t>
            </w:r>
          </w:p>
        </w:tc>
        <w:tc>
          <w:tcPr>
            <w:tcW w:w="0" w:type="auto"/>
            <w:tcBorders>
              <w:top w:val="single" w:sz="6" w:space="0" w:color="E6E6E6"/>
              <w:left w:val="single" w:sz="6" w:space="0" w:color="E6E6E6"/>
              <w:bottom w:val="single" w:sz="6" w:space="0" w:color="E6E6E6"/>
              <w:right w:val="single" w:sz="6" w:space="0" w:color="E6E6E6"/>
            </w:tcBorders>
            <w:shd w:val="clear" w:color="auto" w:fill="FAFAFA"/>
            <w:vAlign w:val="center"/>
            <w:hideMark/>
          </w:tcPr>
          <w:p w14:paraId="472FD882" w14:textId="77777777" w:rsidR="005B159C" w:rsidRPr="005B159C" w:rsidRDefault="005B159C" w:rsidP="005B159C">
            <w:pPr>
              <w:rPr>
                <w:b/>
                <w:bCs/>
              </w:rPr>
            </w:pPr>
            <w:r w:rsidRPr="005B159C">
              <w:rPr>
                <w:b/>
                <w:bCs/>
              </w:rPr>
              <w:t>09 Jul 2019</w:t>
            </w:r>
          </w:p>
        </w:tc>
      </w:tr>
      <w:tr w:rsidR="005B159C" w:rsidRPr="005B159C" w14:paraId="6351FCD2" w14:textId="77777777" w:rsidTr="005B159C">
        <w:tc>
          <w:tcPr>
            <w:tcW w:w="0" w:type="auto"/>
            <w:tcBorders>
              <w:top w:val="single" w:sz="6" w:space="0" w:color="E6E6E6"/>
              <w:left w:val="single" w:sz="6" w:space="0" w:color="E6E6E6"/>
              <w:bottom w:val="single" w:sz="6" w:space="0" w:color="E6E6E6"/>
              <w:right w:val="single" w:sz="6" w:space="0" w:color="E6E6E6"/>
            </w:tcBorders>
            <w:shd w:val="clear" w:color="auto" w:fill="FAFAFA"/>
            <w:vAlign w:val="center"/>
            <w:hideMark/>
          </w:tcPr>
          <w:p w14:paraId="2101DC06" w14:textId="77777777" w:rsidR="005B159C" w:rsidRPr="005B159C" w:rsidRDefault="005B159C" w:rsidP="005B159C">
            <w:pPr>
              <w:rPr>
                <w:b/>
                <w:bCs/>
              </w:rPr>
            </w:pPr>
            <w:r w:rsidRPr="005B159C">
              <w:rPr>
                <w:b/>
                <w:bCs/>
              </w:rPr>
              <w:t>Review date:</w:t>
            </w:r>
          </w:p>
        </w:tc>
        <w:tc>
          <w:tcPr>
            <w:tcW w:w="0" w:type="auto"/>
            <w:tcBorders>
              <w:top w:val="single" w:sz="6" w:space="0" w:color="E6E6E6"/>
              <w:left w:val="single" w:sz="6" w:space="0" w:color="E6E6E6"/>
              <w:bottom w:val="single" w:sz="6" w:space="0" w:color="E6E6E6"/>
              <w:right w:val="single" w:sz="6" w:space="0" w:color="E6E6E6"/>
            </w:tcBorders>
            <w:shd w:val="clear" w:color="auto" w:fill="FAFAFA"/>
            <w:vAlign w:val="center"/>
            <w:hideMark/>
          </w:tcPr>
          <w:p w14:paraId="5F629098" w14:textId="77777777" w:rsidR="005B159C" w:rsidRPr="005B159C" w:rsidRDefault="005B159C" w:rsidP="005B159C">
            <w:pPr>
              <w:rPr>
                <w:b/>
                <w:bCs/>
              </w:rPr>
            </w:pPr>
            <w:r w:rsidRPr="005B159C">
              <w:rPr>
                <w:b/>
                <w:bCs/>
              </w:rPr>
              <w:t>01/07/2026</w:t>
            </w:r>
          </w:p>
        </w:tc>
      </w:tr>
    </w:tbl>
    <w:p w14:paraId="171CC63E" w14:textId="77777777" w:rsidR="005B159C" w:rsidRPr="005B159C" w:rsidRDefault="005B159C" w:rsidP="005B159C">
      <w:pPr>
        <w:rPr>
          <w:b/>
          <w:bCs/>
        </w:rPr>
      </w:pPr>
    </w:p>
    <w:sectPr w:rsidR="005B159C" w:rsidRPr="005B159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220E1" w14:textId="77777777" w:rsidR="005B159C" w:rsidRDefault="005B159C" w:rsidP="005B159C">
      <w:pPr>
        <w:spacing w:after="0" w:line="240" w:lineRule="auto"/>
      </w:pPr>
      <w:r>
        <w:separator/>
      </w:r>
    </w:p>
  </w:endnote>
  <w:endnote w:type="continuationSeparator" w:id="0">
    <w:p w14:paraId="63482D80" w14:textId="77777777" w:rsidR="005B159C" w:rsidRDefault="005B159C" w:rsidP="005B1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876319"/>
      <w:docPartObj>
        <w:docPartGallery w:val="Page Numbers (Bottom of Page)"/>
        <w:docPartUnique/>
      </w:docPartObj>
    </w:sdtPr>
    <w:sdtEndPr>
      <w:rPr>
        <w:noProof/>
      </w:rPr>
    </w:sdtEndPr>
    <w:sdtContent>
      <w:p w14:paraId="18A2F98E" w14:textId="49628FD4" w:rsidR="005B159C" w:rsidRDefault="005B15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11613E" w14:textId="77777777" w:rsidR="005B159C" w:rsidRDefault="005B1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8671" w14:textId="77777777" w:rsidR="005B159C" w:rsidRDefault="005B159C" w:rsidP="005B159C">
      <w:pPr>
        <w:spacing w:after="0" w:line="240" w:lineRule="auto"/>
      </w:pPr>
      <w:r>
        <w:separator/>
      </w:r>
    </w:p>
  </w:footnote>
  <w:footnote w:type="continuationSeparator" w:id="0">
    <w:p w14:paraId="2C765906" w14:textId="77777777" w:rsidR="005B159C" w:rsidRDefault="005B159C" w:rsidP="005B1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777A" w14:textId="56898FB1" w:rsidR="005B159C" w:rsidRDefault="005B159C">
    <w:pPr>
      <w:pStyle w:val="Header"/>
    </w:pPr>
    <w:r>
      <w:t>20251203 CBChange Privacy and Confidentiality Policy v4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C44EB"/>
    <w:multiLevelType w:val="multilevel"/>
    <w:tmpl w:val="470E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F2411"/>
    <w:multiLevelType w:val="multilevel"/>
    <w:tmpl w:val="9986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A45558"/>
    <w:multiLevelType w:val="multilevel"/>
    <w:tmpl w:val="95CA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32382C"/>
    <w:multiLevelType w:val="multilevel"/>
    <w:tmpl w:val="6BBC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742641">
    <w:abstractNumId w:val="0"/>
  </w:num>
  <w:num w:numId="2" w16cid:durableId="1300186765">
    <w:abstractNumId w:val="3"/>
  </w:num>
  <w:num w:numId="3" w16cid:durableId="394669531">
    <w:abstractNumId w:val="1"/>
  </w:num>
  <w:num w:numId="4" w16cid:durableId="120852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9C"/>
    <w:rsid w:val="00174C1D"/>
    <w:rsid w:val="00332994"/>
    <w:rsid w:val="00447554"/>
    <w:rsid w:val="00545188"/>
    <w:rsid w:val="005B15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81C5"/>
  <w15:chartTrackingRefBased/>
  <w15:docId w15:val="{6F03C8B5-69F1-459C-8FFE-9F31D8D0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59C"/>
    <w:rPr>
      <w:rFonts w:eastAsiaTheme="majorEastAsia" w:cstheme="majorBidi"/>
      <w:color w:val="272727" w:themeColor="text1" w:themeTint="D8"/>
    </w:rPr>
  </w:style>
  <w:style w:type="paragraph" w:styleId="Title">
    <w:name w:val="Title"/>
    <w:basedOn w:val="Normal"/>
    <w:next w:val="Normal"/>
    <w:link w:val="TitleChar"/>
    <w:uiPriority w:val="10"/>
    <w:qFormat/>
    <w:rsid w:val="005B1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59C"/>
    <w:pPr>
      <w:spacing w:before="160"/>
      <w:jc w:val="center"/>
    </w:pPr>
    <w:rPr>
      <w:i/>
      <w:iCs/>
      <w:color w:val="404040" w:themeColor="text1" w:themeTint="BF"/>
    </w:rPr>
  </w:style>
  <w:style w:type="character" w:customStyle="1" w:styleId="QuoteChar">
    <w:name w:val="Quote Char"/>
    <w:basedOn w:val="DefaultParagraphFont"/>
    <w:link w:val="Quote"/>
    <w:uiPriority w:val="29"/>
    <w:rsid w:val="005B159C"/>
    <w:rPr>
      <w:i/>
      <w:iCs/>
      <w:color w:val="404040" w:themeColor="text1" w:themeTint="BF"/>
    </w:rPr>
  </w:style>
  <w:style w:type="paragraph" w:styleId="ListParagraph">
    <w:name w:val="List Paragraph"/>
    <w:basedOn w:val="Normal"/>
    <w:uiPriority w:val="34"/>
    <w:qFormat/>
    <w:rsid w:val="005B159C"/>
    <w:pPr>
      <w:ind w:left="720"/>
      <w:contextualSpacing/>
    </w:pPr>
  </w:style>
  <w:style w:type="character" w:styleId="IntenseEmphasis">
    <w:name w:val="Intense Emphasis"/>
    <w:basedOn w:val="DefaultParagraphFont"/>
    <w:uiPriority w:val="21"/>
    <w:qFormat/>
    <w:rsid w:val="005B159C"/>
    <w:rPr>
      <w:i/>
      <w:iCs/>
      <w:color w:val="0F4761" w:themeColor="accent1" w:themeShade="BF"/>
    </w:rPr>
  </w:style>
  <w:style w:type="paragraph" w:styleId="IntenseQuote">
    <w:name w:val="Intense Quote"/>
    <w:basedOn w:val="Normal"/>
    <w:next w:val="Normal"/>
    <w:link w:val="IntenseQuoteChar"/>
    <w:uiPriority w:val="30"/>
    <w:qFormat/>
    <w:rsid w:val="005B1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59C"/>
    <w:rPr>
      <w:i/>
      <w:iCs/>
      <w:color w:val="0F4761" w:themeColor="accent1" w:themeShade="BF"/>
    </w:rPr>
  </w:style>
  <w:style w:type="character" w:styleId="IntenseReference">
    <w:name w:val="Intense Reference"/>
    <w:basedOn w:val="DefaultParagraphFont"/>
    <w:uiPriority w:val="32"/>
    <w:qFormat/>
    <w:rsid w:val="005B159C"/>
    <w:rPr>
      <w:b/>
      <w:bCs/>
      <w:smallCaps/>
      <w:color w:val="0F4761" w:themeColor="accent1" w:themeShade="BF"/>
      <w:spacing w:val="5"/>
    </w:rPr>
  </w:style>
  <w:style w:type="paragraph" w:styleId="Header">
    <w:name w:val="header"/>
    <w:basedOn w:val="Normal"/>
    <w:link w:val="HeaderChar"/>
    <w:uiPriority w:val="99"/>
    <w:unhideWhenUsed/>
    <w:rsid w:val="005B1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59C"/>
  </w:style>
  <w:style w:type="paragraph" w:styleId="Footer">
    <w:name w:val="footer"/>
    <w:basedOn w:val="Normal"/>
    <w:link w:val="FooterChar"/>
    <w:uiPriority w:val="99"/>
    <w:unhideWhenUsed/>
    <w:rsid w:val="005B1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434</Words>
  <Characters>2522</Characters>
  <Application>Microsoft Office Word</Application>
  <DocSecurity>0</DocSecurity>
  <Lines>54</Lines>
  <Paragraphs>38</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Wilson</dc:creator>
  <cp:keywords/>
  <dc:description/>
  <cp:lastModifiedBy>Chloe Wilson</cp:lastModifiedBy>
  <cp:revision>1</cp:revision>
  <dcterms:created xsi:type="dcterms:W3CDTF">2025-12-03T02:24:00Z</dcterms:created>
  <dcterms:modified xsi:type="dcterms:W3CDTF">2025-12-03T02:32:00Z</dcterms:modified>
</cp:coreProperties>
</file>